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8"/>
        <w:gridCol w:w="3217"/>
        <w:gridCol w:w="1"/>
        <w:gridCol w:w="1540"/>
        <w:gridCol w:w="1"/>
        <w:gridCol w:w="1612"/>
        <w:gridCol w:w="24"/>
        <w:gridCol w:w="1200"/>
        <w:gridCol w:w="2"/>
        <w:gridCol w:w="1239"/>
        <w:gridCol w:w="6"/>
        <w:gridCol w:w="1808"/>
        <w:gridCol w:w="1077"/>
        <w:gridCol w:w="889"/>
        <w:gridCol w:w="25"/>
        <w:gridCol w:w="1184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 водоснабжения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26876 м3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</w:t>
            </w:r>
            <w:r>
              <w:rPr>
                <w:rFonts w:ascii="Times New Roman" w:hAnsi="Times New Roman"/>
              </w:rPr>
              <w:t xml:space="preserve"> 01.01.2022 по 31.12.2022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«ВеЛес»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904600,00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 г.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818645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Поставка 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>дизельного топлива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1500 </w:t>
            </w: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л.</w:t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40" w:before="0" w:after="0"/>
              <w:ind w:right="141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09.12.2021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31.03.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85 800,00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09.12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both"/>
              <w:rPr/>
            </w:pPr>
            <w:r>
              <w:rPr>
                <w:rFonts w:eastAsia="SimSun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</w:t>
            </w:r>
            <w:r>
              <w:rPr>
                <w:rFonts w:eastAsia="Times New Roman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Лукойл-Интер-Кард</w:t>
            </w:r>
            <w:r>
              <w:rPr>
                <w:rFonts w:eastAsia="SimSun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81 465,00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54,31</w:t>
            </w:r>
          </w:p>
        </w:tc>
        <w:tc>
          <w:tcPr>
            <w:tcW w:w="1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Апрель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>
        <w:trPr>
          <w:trHeight w:val="372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840994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Моющее средство «Фион сияющий пол»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в течение  5 (пяти)  рабочих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173 663,70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10.12.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Дезвит-Трейд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157976,00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868,00</w:t>
            </w:r>
          </w:p>
        </w:tc>
        <w:tc>
          <w:tcPr>
            <w:tcW w:w="12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Дека</w:t>
            </w:r>
            <w:r>
              <w:rPr>
                <w:sz w:val="20"/>
                <w:szCs w:val="20"/>
              </w:rPr>
              <w:t>брь 2021</w:t>
            </w:r>
          </w:p>
        </w:tc>
      </w:tr>
      <w:tr>
        <w:trPr>
          <w:trHeight w:val="692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Моющее средство «Фион санит концентрат»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12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Моющее средство «Фион запаху нет»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204,4</w:t>
            </w:r>
          </w:p>
        </w:tc>
        <w:tc>
          <w:tcPr>
            <w:tcW w:w="12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Дезинфицирующее средство «Фион антисептик»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1 456,00</w:t>
            </w:r>
          </w:p>
        </w:tc>
        <w:tc>
          <w:tcPr>
            <w:tcW w:w="12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Дезинфицирующее средство «Фион антисептический гель»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1 534,4</w:t>
            </w:r>
          </w:p>
        </w:tc>
        <w:tc>
          <w:tcPr>
            <w:tcW w:w="12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Дезинфицирующее средство «Ника антисептик аквамусс»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1 047,2</w:t>
            </w:r>
          </w:p>
        </w:tc>
        <w:tc>
          <w:tcPr>
            <w:tcW w:w="12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Дезинфицирующее средство «Экобриз окси лайт»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480,2</w:t>
            </w:r>
          </w:p>
        </w:tc>
        <w:tc>
          <w:tcPr>
            <w:tcW w:w="12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32110840615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Поставка матрасов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шт.</w:t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в течение  7 (семи)  рабочих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303 333,10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Общество с ограниченной ответственностью «ЭКОМЕДФОРМ+»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199500,00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2850,00</w:t>
            </w:r>
          </w:p>
        </w:tc>
        <w:tc>
          <w:tcPr>
            <w:tcW w:w="1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>декабрь</w:t>
    </w:r>
    <w:r>
      <w:rPr>
        <w:rFonts w:cs="Times New Roman" w:ascii="Times New Roman" w:hAnsi="Times New Roman"/>
        <w:sz w:val="24"/>
        <w:szCs w:val="24"/>
      </w:rPr>
      <w:t xml:space="preserve"> 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LibreOffice/6.3.4.2$Windows_x86 LibreOffice_project/60da17e045e08f1793c57c00ba83cdfce946d0aa</Application>
  <Pages>2</Pages>
  <Words>299</Words>
  <Characters>1918</Characters>
  <CharactersWithSpaces>2152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2022-01-17T10:58:38Z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